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3D673" w14:textId="77777777" w:rsidR="008C0717" w:rsidRDefault="00000000">
      <w:pP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</w:pPr>
      <w: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附件</w:t>
      </w:r>
      <w: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1</w:t>
      </w:r>
      <w:r>
        <w:rPr>
          <w:rFonts w:ascii="Times New Roman" w:eastAsia="黑体" w:hAnsi="Times New Roman" w:cs="Times New Roman"/>
          <w:bCs/>
          <w:color w:val="000000" w:themeColor="text1"/>
          <w:sz w:val="32"/>
          <w:szCs w:val="32"/>
        </w:rPr>
        <w:t>：</w:t>
      </w:r>
    </w:p>
    <w:p w14:paraId="7F96EDB0" w14:textId="77777777" w:rsidR="008C0717" w:rsidRDefault="00000000">
      <w:pPr>
        <w:spacing w:afterLines="50" w:after="156" w:line="560" w:lineRule="exact"/>
        <w:jc w:val="center"/>
        <w:rPr>
          <w:rFonts w:ascii="方正小标宋简体" w:eastAsia="方正小标宋简体" w:hAnsiTheme="majorEastAsia" w:cstheme="majorEastAsia"/>
          <w:sz w:val="40"/>
          <w:szCs w:val="40"/>
        </w:rPr>
      </w:pPr>
      <w:r>
        <w:rPr>
          <w:rFonts w:ascii="方正小标宋简体" w:eastAsia="方正小标宋简体" w:hAnsiTheme="majorEastAsia" w:cstheme="majorEastAsia"/>
          <w:sz w:val="40"/>
          <w:szCs w:val="40"/>
        </w:rPr>
        <w:t>会议议程（暂定）</w:t>
      </w:r>
    </w:p>
    <w:p w14:paraId="5C297910" w14:textId="2C68DA15" w:rsidR="008C0717" w:rsidRDefault="00826E19">
      <w:pPr>
        <w:tabs>
          <w:tab w:val="left" w:pos="5113"/>
          <w:tab w:val="left" w:pos="6413"/>
        </w:tabs>
        <w:spacing w:line="510" w:lineRule="exact"/>
        <w:ind w:firstLineChars="200" w:firstLine="610"/>
        <w:jc w:val="left"/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8</w:t>
      </w:r>
      <w:r w:rsidR="00000000"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月</w:t>
      </w:r>
      <w:r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2</w:t>
      </w:r>
      <w:r w:rsidR="00000000"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日全天 10:00-23:00  代表报到</w:t>
      </w:r>
    </w:p>
    <w:p w14:paraId="3E164C08" w14:textId="6FEEDEA5" w:rsidR="008C0717" w:rsidRDefault="00826E19">
      <w:pPr>
        <w:tabs>
          <w:tab w:val="left" w:pos="5113"/>
          <w:tab w:val="left" w:pos="6413"/>
        </w:tabs>
        <w:spacing w:line="510" w:lineRule="exact"/>
        <w:ind w:firstLineChars="200" w:firstLine="610"/>
        <w:jc w:val="left"/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8</w:t>
      </w:r>
      <w:r w:rsidR="00000000"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月</w:t>
      </w:r>
      <w:r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2</w:t>
      </w:r>
      <w:r w:rsidR="00000000"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日晚上 19:00-21:00  中国物流与采购联合会物流信息服务平台分会会长办公会</w:t>
      </w:r>
    </w:p>
    <w:p w14:paraId="786F93FD" w14:textId="2A015B2A" w:rsidR="008C0717" w:rsidRDefault="00826E19">
      <w:pPr>
        <w:tabs>
          <w:tab w:val="left" w:pos="5113"/>
          <w:tab w:val="left" w:pos="6413"/>
        </w:tabs>
        <w:spacing w:line="510" w:lineRule="exact"/>
        <w:ind w:firstLineChars="200" w:firstLine="610"/>
        <w:jc w:val="left"/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8</w:t>
      </w:r>
      <w:r w:rsidR="00000000"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月</w:t>
      </w:r>
      <w:r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3</w:t>
      </w:r>
      <w:r w:rsidR="00000000"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日上午 09:00-12:00  全体大会（包括开幕式、领导致辞、专家解读和企业分享）</w:t>
      </w:r>
    </w:p>
    <w:p w14:paraId="6B8D3CE1" w14:textId="10CA74A5" w:rsidR="008C0717" w:rsidRDefault="00826E19">
      <w:pPr>
        <w:tabs>
          <w:tab w:val="left" w:pos="5113"/>
          <w:tab w:val="left" w:pos="6413"/>
        </w:tabs>
        <w:spacing w:line="510" w:lineRule="exact"/>
        <w:ind w:firstLineChars="200" w:firstLine="610"/>
        <w:jc w:val="left"/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8</w:t>
      </w:r>
      <w:r w:rsidR="00000000"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月</w:t>
      </w:r>
      <w:r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3</w:t>
      </w:r>
      <w:r w:rsidR="00000000">
        <w:rPr>
          <w:rFonts w:ascii="仿宋" w:eastAsia="仿宋" w:hAnsi="仿宋" w:cs="Times New Roman"/>
          <w:b/>
          <w:bCs/>
          <w:color w:val="000000" w:themeColor="text1"/>
          <w:spacing w:val="2"/>
          <w:sz w:val="30"/>
          <w:szCs w:val="30"/>
        </w:rPr>
        <w:t>日下午 14:00-17:30  分论坛（包括主题演讲和嘉宾互动）</w:t>
      </w:r>
    </w:p>
    <w:p w14:paraId="24657A34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594"/>
        <w:jc w:val="left"/>
        <w:rPr>
          <w:rFonts w:ascii="仿宋" w:eastAsia="仿宋" w:hAnsi="仿宋" w:cs="Times New Roman"/>
          <w:b/>
          <w:color w:val="000000" w:themeColor="text1"/>
          <w:spacing w:val="-2"/>
          <w:sz w:val="30"/>
          <w:szCs w:val="30"/>
        </w:rPr>
      </w:pPr>
      <w:r>
        <w:rPr>
          <w:rFonts w:ascii="仿宋" w:eastAsia="仿宋" w:hAnsi="仿宋" w:cs="Times New Roman"/>
          <w:b/>
          <w:color w:val="000000" w:themeColor="text1"/>
          <w:spacing w:val="-2"/>
          <w:sz w:val="30"/>
          <w:szCs w:val="30"/>
        </w:rPr>
        <w:t>分论坛一：“双循环”背景下供应链产业链稳定安全与平台协同</w:t>
      </w:r>
    </w:p>
    <w:p w14:paraId="640DD71C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1．供应链国家战略下安全化、数字化、智能化平台的发展新机遇</w:t>
      </w:r>
    </w:p>
    <w:p w14:paraId="02022C2F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2．平台对于提高供应链产业链运行效率关键点</w:t>
      </w:r>
    </w:p>
    <w:p w14:paraId="2865C6D7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3．供应链核心企业和大中小微生态企业协同共赢策略</w:t>
      </w:r>
    </w:p>
    <w:p w14:paraId="6389EFB0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4．新“承运”时代的网络货运发展思路</w:t>
      </w:r>
    </w:p>
    <w:p w14:paraId="3DBD0BA7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5．网络货运平台如何助力物流企业和供应链企业转型升级</w:t>
      </w:r>
    </w:p>
    <w:p w14:paraId="1874E1E8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6．数字货运时代公域运力和私域运力体系建设</w:t>
      </w:r>
    </w:p>
    <w:p w14:paraId="570B4BC2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7．平台经济下的卡车司机权益保障和制度建设</w:t>
      </w:r>
    </w:p>
    <w:p w14:paraId="67664071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10"/>
        <w:jc w:val="left"/>
        <w:rPr>
          <w:rFonts w:ascii="仿宋" w:eastAsia="仿宋" w:hAnsi="仿宋" w:cs="Times New Roman"/>
          <w:b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b/>
          <w:color w:val="000000" w:themeColor="text1"/>
          <w:spacing w:val="2"/>
          <w:sz w:val="30"/>
          <w:szCs w:val="30"/>
        </w:rPr>
        <w:t>分论坛二：网络货运平台创新运营生态服务搭建与布局</w:t>
      </w:r>
    </w:p>
    <w:p w14:paraId="58C32FA0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1．平台经济下，车后服务市场的价值链生态</w:t>
      </w:r>
    </w:p>
    <w:p w14:paraId="530701A3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0"/>
        <w:jc w:val="left"/>
        <w:rPr>
          <w:rFonts w:ascii="仿宋" w:eastAsia="仿宋" w:hAnsi="仿宋" w:cs="Times New Roman"/>
          <w:color w:val="000000" w:themeColor="text1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z w:val="30"/>
          <w:szCs w:val="30"/>
        </w:rPr>
        <w:t>2．保险、ETC、互联网能源平台与网络货运平台合作模式探讨</w:t>
      </w:r>
    </w:p>
    <w:p w14:paraId="4ED6B55D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3．区块链、人工智能、物联网等技术创新重构网络货运信用体系</w:t>
      </w:r>
    </w:p>
    <w:p w14:paraId="1DF880E3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4．贯通卡车后市场服务，撬动物流新消费市场</w:t>
      </w:r>
    </w:p>
    <w:p w14:paraId="61753E9C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lastRenderedPageBreak/>
        <w:t>5．创优金融生态，赋能数智物流</w:t>
      </w:r>
    </w:p>
    <w:p w14:paraId="69EFBEB6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10"/>
        <w:jc w:val="left"/>
        <w:rPr>
          <w:rFonts w:ascii="仿宋" w:eastAsia="仿宋" w:hAnsi="仿宋" w:cs="Times New Roman"/>
          <w:b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b/>
          <w:color w:val="000000" w:themeColor="text1"/>
          <w:spacing w:val="2"/>
          <w:sz w:val="30"/>
          <w:szCs w:val="30"/>
        </w:rPr>
        <w:t>分论坛三：多式联运与物流平台数字化体系建设</w:t>
      </w:r>
    </w:p>
    <w:p w14:paraId="2D74365E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1．我国多式联运的发展现状</w:t>
      </w:r>
    </w:p>
    <w:p w14:paraId="5E567D5A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2．物流平台数字化体系建设现状</w:t>
      </w:r>
    </w:p>
    <w:p w14:paraId="3713D14B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3．多式联运与物流平台数字化体系建设的实践</w:t>
      </w:r>
    </w:p>
    <w:p w14:paraId="0E50FDCB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4．多式联运是重构物流供应链体系的突破口</w:t>
      </w:r>
    </w:p>
    <w:p w14:paraId="54251C87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5．多式联运与物流平台数字化体系建设的意义</w:t>
      </w:r>
    </w:p>
    <w:p w14:paraId="2EC44155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10"/>
        <w:jc w:val="left"/>
        <w:rPr>
          <w:rFonts w:ascii="仿宋" w:eastAsia="仿宋" w:hAnsi="仿宋" w:cs="Times New Roman"/>
          <w:b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b/>
          <w:color w:val="000000" w:themeColor="text1"/>
          <w:spacing w:val="2"/>
          <w:sz w:val="30"/>
          <w:szCs w:val="30"/>
        </w:rPr>
        <w:t>分论坛四：构建大宗商品数智物流供应链新业态</w:t>
      </w:r>
    </w:p>
    <w:p w14:paraId="3A0B2F00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1．钢铁行业关联大宗商品、建材和工业原材料行业网络货运平台的落地与实践</w:t>
      </w:r>
    </w:p>
    <w:p w14:paraId="5A16D3A9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2．大宗产业与网络货运平台的融合发展</w:t>
      </w:r>
    </w:p>
    <w:p w14:paraId="38C2F13B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3．数字供应链平台协同对服务平台的创新要求和挑战</w:t>
      </w:r>
    </w:p>
    <w:p w14:paraId="29AD416C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4．煤炭产业链和物流供应链的数字共通和协同发展</w:t>
      </w:r>
    </w:p>
    <w:p w14:paraId="76B38FAB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5．供应链产业链安全稳定与物流履约效率成本</w:t>
      </w:r>
    </w:p>
    <w:p w14:paraId="619B7F3E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10"/>
        <w:jc w:val="left"/>
        <w:rPr>
          <w:rFonts w:ascii="仿宋" w:eastAsia="仿宋" w:hAnsi="仿宋" w:cs="Times New Roman"/>
          <w:b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b/>
          <w:color w:val="000000" w:themeColor="text1"/>
          <w:spacing w:val="2"/>
          <w:sz w:val="30"/>
          <w:szCs w:val="30"/>
        </w:rPr>
        <w:t>分论坛五：智慧互联引领绿色商用车新业务场景</w:t>
      </w:r>
    </w:p>
    <w:p w14:paraId="256D4B8F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1．如何推动电动重卡在物流平台中转场站的应用</w:t>
      </w:r>
    </w:p>
    <w:p w14:paraId="6CF88536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2．大宗商品流通产业中电动重卡换电运输场景落地与时间</w:t>
      </w:r>
    </w:p>
    <w:p w14:paraId="151B67C6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3．“双碳”战略下的清洁运输绿色物流体系</w:t>
      </w:r>
    </w:p>
    <w:p w14:paraId="5768D3D8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4．商用车如何以领先的数字化技术，从人、车、路、货四个方面赋能物流生态</w:t>
      </w:r>
    </w:p>
    <w:p w14:paraId="6B93F928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5．商用车探索智慧绿色运力创新发展思路</w:t>
      </w:r>
    </w:p>
    <w:p w14:paraId="26CA5EC1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10"/>
        <w:jc w:val="left"/>
        <w:rPr>
          <w:rFonts w:ascii="仿宋" w:eastAsia="仿宋" w:hAnsi="仿宋" w:cs="Times New Roman"/>
          <w:b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b/>
          <w:color w:val="000000" w:themeColor="text1"/>
          <w:spacing w:val="2"/>
          <w:sz w:val="30"/>
          <w:szCs w:val="30"/>
        </w:rPr>
        <w:t>分论坛六：城市物流平台智能化、数字化、绿色高效解决方案解析</w:t>
      </w:r>
    </w:p>
    <w:p w14:paraId="3CA1E941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1．多场景城市物流对城配物流平台（企业）挑战和机遇</w:t>
      </w:r>
    </w:p>
    <w:p w14:paraId="2A7E45F8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2．新时代背景下城市物流发展变革大趋势</w:t>
      </w:r>
    </w:p>
    <w:p w14:paraId="494F0F63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3．标准、智能、共享、绿色助力城市物流蓬勃发展</w:t>
      </w:r>
    </w:p>
    <w:p w14:paraId="790E3010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lastRenderedPageBreak/>
        <w:t>4．差异化充电的城市电动物流车配送优化研究</w:t>
      </w:r>
    </w:p>
    <w:p w14:paraId="3056D39E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5．基于场景和算法技术的城市配送路径优化方案落地</w:t>
      </w:r>
    </w:p>
    <w:p w14:paraId="0E012D57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586"/>
        <w:jc w:val="left"/>
        <w:rPr>
          <w:rFonts w:ascii="仿宋" w:eastAsia="仿宋" w:hAnsi="仿宋" w:cs="Times New Roman"/>
          <w:b/>
          <w:color w:val="000000" w:themeColor="text1"/>
          <w:spacing w:val="-4"/>
          <w:sz w:val="30"/>
          <w:szCs w:val="30"/>
        </w:rPr>
      </w:pPr>
      <w:r>
        <w:rPr>
          <w:rFonts w:ascii="仿宋" w:eastAsia="仿宋" w:hAnsi="仿宋" w:cs="Times New Roman"/>
          <w:b/>
          <w:color w:val="000000" w:themeColor="text1"/>
          <w:spacing w:val="-4"/>
          <w:sz w:val="30"/>
          <w:szCs w:val="30"/>
        </w:rPr>
        <w:t>分论坛七：物流供应链行业平台发展过程的技术创新与落地应用</w:t>
      </w:r>
    </w:p>
    <w:p w14:paraId="5E352D62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1．人工智能技术对数字时代下供应链平台分析和预测的影响</w:t>
      </w:r>
    </w:p>
    <w:p w14:paraId="391AED15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2．物流供应链平台大数据分析及价值挖掘</w:t>
      </w:r>
    </w:p>
    <w:p w14:paraId="5906085B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3．如何利用高级分析和区块链技术建立可信行业业态</w:t>
      </w:r>
    </w:p>
    <w:p w14:paraId="577B8112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4．高精度定位在物流平台的应用案例解析</w:t>
      </w:r>
    </w:p>
    <w:p w14:paraId="38136C9A" w14:textId="77777777" w:rsidR="008C0717" w:rsidRDefault="00000000">
      <w:pPr>
        <w:tabs>
          <w:tab w:val="left" w:pos="5113"/>
          <w:tab w:val="left" w:pos="6413"/>
        </w:tabs>
        <w:spacing w:line="510" w:lineRule="exact"/>
        <w:ind w:firstLineChars="200" w:firstLine="608"/>
        <w:jc w:val="left"/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</w:pPr>
      <w:r>
        <w:rPr>
          <w:rFonts w:ascii="仿宋" w:eastAsia="仿宋" w:hAnsi="仿宋" w:cs="Times New Roman"/>
          <w:color w:val="000000" w:themeColor="text1"/>
          <w:spacing w:val="2"/>
          <w:sz w:val="30"/>
          <w:szCs w:val="30"/>
        </w:rPr>
        <w:t>5．车辆主动安全与辅助安全相结合的解决方案与物流平台运营风控</w:t>
      </w:r>
    </w:p>
    <w:p w14:paraId="5C3A1A59" w14:textId="77777777" w:rsidR="008C0717" w:rsidRDefault="008C0717">
      <w:pPr>
        <w:widowControl/>
        <w:jc w:val="left"/>
        <w:rPr>
          <w:rFonts w:ascii="Times New Roman" w:eastAsia="仿宋_GB2312" w:hAnsi="Times New Roman"/>
          <w:color w:val="000000" w:themeColor="text1"/>
          <w:szCs w:val="21"/>
        </w:rPr>
      </w:pPr>
    </w:p>
    <w:sectPr w:rsidR="008C0717">
      <w:footerReference w:type="even" r:id="rId6"/>
      <w:footerReference w:type="default" r:id="rId7"/>
      <w:pgSz w:w="11906" w:h="16838"/>
      <w:pgMar w:top="1440" w:right="1588" w:bottom="1661" w:left="1588" w:header="0" w:footer="1604" w:gutter="0"/>
      <w:cols w:space="720"/>
      <w:formProt w:val="0"/>
      <w:docGrid w:type="lines" w:linePitch="312" w:charSpace="4300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50FF8A" w14:textId="77777777" w:rsidR="0039330D" w:rsidRDefault="0039330D">
      <w:r>
        <w:separator/>
      </w:r>
    </w:p>
  </w:endnote>
  <w:endnote w:type="continuationSeparator" w:id="0">
    <w:p w14:paraId="69CF5DEB" w14:textId="77777777" w:rsidR="0039330D" w:rsidRDefault="003933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D889E3" w14:textId="77777777" w:rsidR="008C0717" w:rsidRDefault="00000000">
    <w:pPr>
      <w:pStyle w:val="a3"/>
      <w:rPr>
        <w:rFonts w:ascii="Times New Roman" w:hAnsi="Times New Roman" w:cs="Times New Roman"/>
      </w:rPr>
    </w:pPr>
    <w:r>
      <w:rPr>
        <w:rStyle w:val="a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4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6"/>
        <w:rFonts w:ascii="Times New Roman" w:hAnsi="Times New Roman" w:cs="Times New Roman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D7490B" w14:textId="77777777" w:rsidR="008C0717" w:rsidRDefault="00000000">
    <w:pPr>
      <w:pStyle w:val="a3"/>
      <w:ind w:left="5250"/>
      <w:jc w:val="right"/>
      <w:rPr>
        <w:rFonts w:ascii="Times New Roman" w:hAnsi="Times New Roman" w:cs="Times New Roman"/>
      </w:rPr>
    </w:pPr>
    <w:r>
      <w:rPr>
        <w:rStyle w:val="a6"/>
        <w:rFonts w:ascii="Times New Roman" w:hAnsi="Times New Roman" w:cs="Times New Roman"/>
        <w:sz w:val="28"/>
        <w:szCs w:val="28"/>
      </w:rPr>
      <w:t xml:space="preserve">— </w:t>
    </w:r>
    <w:r>
      <w:rPr>
        <w:rFonts w:ascii="Times New Roman" w:hAnsi="Times New Roman" w:cs="Times New Roman"/>
        <w:sz w:val="28"/>
        <w:szCs w:val="28"/>
      </w:rPr>
      <w:fldChar w:fldCharType="begin"/>
    </w:r>
    <w:r>
      <w:rPr>
        <w:rFonts w:ascii="Times New Roman" w:hAnsi="Times New Roman" w:cs="Times New Roman"/>
        <w:sz w:val="28"/>
        <w:szCs w:val="28"/>
      </w:rPr>
      <w:instrText>PAGE</w:instrText>
    </w:r>
    <w:r>
      <w:rPr>
        <w:rFonts w:ascii="Times New Roman" w:hAnsi="Times New Roman" w:cs="Times New Roman"/>
        <w:sz w:val="28"/>
        <w:szCs w:val="28"/>
      </w:rPr>
      <w:fldChar w:fldCharType="separate"/>
    </w:r>
    <w:r>
      <w:rPr>
        <w:rFonts w:ascii="Times New Roman" w:hAnsi="Times New Roman" w:cs="Times New Roman"/>
        <w:sz w:val="28"/>
        <w:szCs w:val="28"/>
      </w:rPr>
      <w:t>7</w:t>
    </w:r>
    <w:r>
      <w:rPr>
        <w:rFonts w:ascii="Times New Roman" w:hAnsi="Times New Roman" w:cs="Times New Roman"/>
        <w:sz w:val="28"/>
        <w:szCs w:val="28"/>
      </w:rPr>
      <w:fldChar w:fldCharType="end"/>
    </w:r>
    <w:r>
      <w:rPr>
        <w:rStyle w:val="a6"/>
        <w:rFonts w:ascii="Times New Roman" w:hAnsi="Times New Roman" w:cs="Times New Roman"/>
        <w:sz w:val="28"/>
        <w:szCs w:val="28"/>
      </w:rPr>
      <w:t xml:space="preserve"> —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7B3B4A" w14:textId="77777777" w:rsidR="0039330D" w:rsidRDefault="0039330D">
      <w:r>
        <w:separator/>
      </w:r>
    </w:p>
  </w:footnote>
  <w:footnote w:type="continuationSeparator" w:id="0">
    <w:p w14:paraId="58AB1848" w14:textId="77777777" w:rsidR="0039330D" w:rsidRDefault="003933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autoHyphenation/>
  <w:evenAndOddHeaders/>
  <w:characterSpacingControl w:val="doNotCompress"/>
  <w:footnotePr>
    <w:footnote w:id="-1"/>
    <w:footnote w:id="0"/>
  </w:footnotePr>
  <w:endnotePr>
    <w:endnote w:id="-1"/>
    <w:endnote w:id="0"/>
  </w:endnotePr>
  <w:compat>
    <w:balanceSingleByteDoubleByteWidth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QzNTk2NDQwMjg2YjRiM2RiZjI0NDJkMGUwZWM1NTIifQ=="/>
  </w:docVars>
  <w:rsids>
    <w:rsidRoot w:val="00554304"/>
    <w:rsid w:val="00082E6A"/>
    <w:rsid w:val="001A3BA6"/>
    <w:rsid w:val="00295A8C"/>
    <w:rsid w:val="0032531A"/>
    <w:rsid w:val="0039330D"/>
    <w:rsid w:val="004878BE"/>
    <w:rsid w:val="00554304"/>
    <w:rsid w:val="006249A0"/>
    <w:rsid w:val="007B79BB"/>
    <w:rsid w:val="007E281E"/>
    <w:rsid w:val="00826E19"/>
    <w:rsid w:val="008C0717"/>
    <w:rsid w:val="009D0ED5"/>
    <w:rsid w:val="00AE7C64"/>
    <w:rsid w:val="00FC2B2B"/>
    <w:rsid w:val="00FF4AB1"/>
    <w:rsid w:val="07562BA1"/>
    <w:rsid w:val="37232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386DB5"/>
  <w15:docId w15:val="{F235E8FD-164E-49BE-A61D-BF4D5714F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page number"/>
    <w:basedOn w:val="a0"/>
    <w:qFormat/>
  </w:style>
  <w:style w:type="paragraph" w:customStyle="1" w:styleId="a7">
    <w:name w:val="框架内容"/>
    <w:basedOn w:val="a"/>
    <w:qFormat/>
  </w:style>
  <w:style w:type="character" w:customStyle="1" w:styleId="a5">
    <w:name w:val="页眉 字符"/>
    <w:basedOn w:val="a0"/>
    <w:link w:val="a4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3</Pages>
  <Words>182</Words>
  <Characters>1042</Characters>
  <Application>Microsoft Office Word</Application>
  <DocSecurity>0</DocSecurity>
  <Lines>8</Lines>
  <Paragraphs>2</Paragraphs>
  <ScaleCrop>false</ScaleCrop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ying_yingjin@126.com</dc:creator>
  <cp:lastModifiedBy>ying_yingjin@126.com</cp:lastModifiedBy>
  <cp:revision>40</cp:revision>
  <cp:lastPrinted>2022-02-28T07:48:00Z</cp:lastPrinted>
  <dcterms:created xsi:type="dcterms:W3CDTF">2021-10-28T05:24:00Z</dcterms:created>
  <dcterms:modified xsi:type="dcterms:W3CDTF">2022-07-13T07:07:00Z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FB68FDA97F0A443AA9949C841D049842</vt:lpwstr>
  </property>
  <property fmtid="{D5CDD505-2E9C-101B-9397-08002B2CF9AE}" pid="3" name="KSOProductBuildVer">
    <vt:lpwstr>2052-11.1.0.11805</vt:lpwstr>
  </property>
</Properties>
</file>